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25" w:rsidRDefault="00CF2C2D">
      <w:pPr>
        <w:pStyle w:val="Nagwek1"/>
      </w:pPr>
      <w:r w:rsidRPr="00CF2C2D">
        <w:t xml:space="preserve">Supramolecular Approaches to Functional </w:t>
      </w:r>
      <w:proofErr w:type="spellStart"/>
      <w:r w:rsidRPr="00CF2C2D">
        <w:t>Cocrystal</w:t>
      </w:r>
      <w:proofErr w:type="spellEnd"/>
      <w:r w:rsidRPr="00CF2C2D">
        <w:t xml:space="preserve"> Design</w:t>
      </w:r>
      <w:r w:rsidR="007847F7">
        <w:t xml:space="preserve"> </w:t>
      </w:r>
    </w:p>
    <w:p w:rsidR="00345E25" w:rsidRDefault="00CF2C2D">
      <w:pPr>
        <w:pStyle w:val="Nagwek2"/>
      </w:pPr>
      <w:proofErr w:type="spellStart"/>
      <w:r w:rsidRPr="00CF2C2D">
        <w:t>Ranjit</w:t>
      </w:r>
      <w:proofErr w:type="spellEnd"/>
      <w:r w:rsidRPr="00CF2C2D">
        <w:t xml:space="preserve"> </w:t>
      </w:r>
      <w:proofErr w:type="spellStart"/>
      <w:r w:rsidRPr="00CF2C2D">
        <w:t>Thakuria</w:t>
      </w:r>
      <w:proofErr w:type="spellEnd"/>
    </w:p>
    <w:p w:rsidR="00345E25" w:rsidRDefault="007847F7">
      <w:pPr>
        <w:pStyle w:val="Nagwek3"/>
      </w:pPr>
      <w:r>
        <w:rPr>
          <w:vertAlign w:val="superscript"/>
        </w:rPr>
        <w:t>1</w:t>
      </w:r>
      <w:r w:rsidR="00CF2C2D" w:rsidRPr="00CF2C2D">
        <w:t xml:space="preserve">Department of Chemistry, </w:t>
      </w:r>
      <w:proofErr w:type="spellStart"/>
      <w:r w:rsidR="00CF2C2D" w:rsidRPr="00CF2C2D">
        <w:t>Gauhati</w:t>
      </w:r>
      <w:proofErr w:type="spellEnd"/>
      <w:r w:rsidR="00CF2C2D" w:rsidRPr="00CF2C2D">
        <w:t xml:space="preserve"> University, Guwahati, Assam, India </w:t>
      </w:r>
      <w:r>
        <w:rPr>
          <w:vertAlign w:val="superscript"/>
        </w:rPr>
        <w:t>2</w:t>
      </w:r>
      <w:r w:rsidR="00CF2C2D" w:rsidRPr="00CF2C2D">
        <w:t xml:space="preserve"> </w:t>
      </w:r>
      <w:proofErr w:type="spellStart"/>
      <w:r w:rsidR="00CF2C2D" w:rsidRPr="00CF2C2D">
        <w:t>Ulam</w:t>
      </w:r>
      <w:proofErr w:type="spellEnd"/>
      <w:r w:rsidR="00CF2C2D" w:rsidRPr="00CF2C2D">
        <w:t xml:space="preserve"> NAWA fellow, Faculty of Chemistry, University of Warsaw, Warsaw 02-093, Poland</w:t>
      </w:r>
    </w:p>
    <w:p w:rsidR="00345E25" w:rsidRDefault="00CF2C2D">
      <w:pPr>
        <w:pStyle w:val="Nagwek3"/>
        <w:rPr>
          <w:sz w:val="18"/>
          <w:szCs w:val="18"/>
        </w:rPr>
      </w:pPr>
      <w:r>
        <w:t>ranjit.thakuria@gauhati.ac.in</w:t>
      </w:r>
      <w:r w:rsidR="007847F7">
        <w:rPr>
          <w:lang w:eastAsia="de-DE"/>
        </w:rPr>
        <w:br/>
      </w:r>
    </w:p>
    <w:p w:rsidR="00345E25" w:rsidRDefault="00CF2C2D">
      <w:r w:rsidRPr="00CF2C2D">
        <w:t xml:space="preserve">Supramolecular interactions such as hydrogen bonding, halogen bonding and π–π stacking interactions play a vital role in the field of Crystal Engineering, which focuses on the rational design and assembly of molecular solids through non-covalent forces. Unlike covalent modifications, supramolecular approaches allow the modulation of material properties without altering the intrinsic structure of the molecular components. The utilization of supramolecular synthons have made it possible to design multicomponent crystalline systems with desired properties. Here in my talk, I will discuss about our work related to agro-based </w:t>
      </w:r>
      <w:proofErr w:type="spellStart"/>
      <w:r w:rsidRPr="00CF2C2D">
        <w:t>cocrystal</w:t>
      </w:r>
      <w:proofErr w:type="spellEnd"/>
      <w:r w:rsidRPr="00CF2C2D">
        <w:t xml:space="preserve"> design</w:t>
      </w:r>
      <w:r w:rsidRPr="00CF2C2D">
        <w:rPr>
          <w:vertAlign w:val="superscript"/>
        </w:rPr>
        <w:t>1</w:t>
      </w:r>
      <w:r w:rsidR="002D3CAB">
        <w:rPr>
          <w:vertAlign w:val="superscript"/>
        </w:rPr>
        <w:t>,2</w:t>
      </w:r>
      <w:r w:rsidRPr="00CF2C2D">
        <w:t xml:space="preserve"> as a sustained release fertilizer, preparation of pharmaceutical multi-component solids as well as organic fluorophore</w:t>
      </w:r>
      <w:r w:rsidR="002D3CAB" w:rsidRPr="002D3CAB">
        <w:rPr>
          <w:vertAlign w:val="superscript"/>
        </w:rPr>
        <w:t>3-5</w:t>
      </w:r>
      <w:r w:rsidRPr="00CF2C2D">
        <w:t xml:space="preserve"> in order to tune various materials properties (Figure 1).</w:t>
      </w:r>
    </w:p>
    <w:p w:rsidR="00CF2C2D" w:rsidRDefault="00CF2C2D"/>
    <w:p w:rsidR="00000D9E" w:rsidRDefault="00000D9E"/>
    <w:p w:rsidR="00345E25" w:rsidRDefault="002D3CAB">
      <w:pPr>
        <w:jc w:val="center"/>
      </w:pPr>
      <w:r>
        <w:rPr>
          <w:noProof/>
          <w:lang w:val="pl-PL" w:eastAsia="pl-P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77059"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Pr="00CF2C2D">
        <w:rPr>
          <w:noProof/>
          <w:sz w:val="24"/>
          <w:szCs w:val="24"/>
          <w:lang w:val="pl-PL" w:eastAsia="pl-PL"/>
        </w:rPr>
        <w:drawing>
          <wp:inline distT="0" distB="0" distL="0" distR="0">
            <wp:extent cx="2324100" cy="194310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943100"/>
                    </a:xfrm>
                    <a:prstGeom prst="rect">
                      <a:avLst/>
                    </a:prstGeom>
                    <a:noFill/>
                    <a:ln>
                      <a:noFill/>
                    </a:ln>
                  </pic:spPr>
                </pic:pic>
              </a:graphicData>
            </a:graphic>
          </wp:inline>
        </w:drawing>
      </w:r>
      <w:r w:rsidR="00CF2C2D">
        <w:rPr>
          <w:noProof/>
          <w:sz w:val="24"/>
          <w:szCs w:val="24"/>
          <w:lang w:val="pl-PL" w:eastAsia="pl-PL"/>
        </w:rPr>
        <w:t xml:space="preserve"> </w:t>
      </w:r>
      <w:r w:rsidRPr="00CF2C2D">
        <w:rPr>
          <w:noProof/>
          <w:sz w:val="24"/>
          <w:szCs w:val="24"/>
          <w:lang w:val="pl-PL" w:eastAsia="pl-PL"/>
        </w:rPr>
        <w:drawing>
          <wp:inline distT="0" distB="0" distL="0" distR="0">
            <wp:extent cx="2952750" cy="1762125"/>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762125"/>
                    </a:xfrm>
                    <a:prstGeom prst="rect">
                      <a:avLst/>
                    </a:prstGeom>
                    <a:noFill/>
                    <a:ln>
                      <a:noFill/>
                    </a:ln>
                  </pic:spPr>
                </pic:pic>
              </a:graphicData>
            </a:graphic>
          </wp:inline>
        </w:drawing>
      </w:r>
    </w:p>
    <w:p w:rsidR="00345E25" w:rsidRDefault="007847F7">
      <w:pPr>
        <w:pStyle w:val="Nagwek6"/>
      </w:pPr>
      <w:r>
        <w:rPr>
          <w:b/>
        </w:rPr>
        <w:t>F</w:t>
      </w:r>
      <w:r>
        <w:rPr>
          <w:b/>
        </w:rPr>
        <w:t>igure 1</w:t>
      </w:r>
      <w:r>
        <w:t xml:space="preserve">. </w:t>
      </w:r>
      <w:r w:rsidR="00CF2C2D" w:rsidRPr="00CF2C2D">
        <w:t xml:space="preserve">Application of </w:t>
      </w:r>
      <w:proofErr w:type="spellStart"/>
      <w:r w:rsidR="00CF2C2D" w:rsidRPr="00CF2C2D">
        <w:t>mechanochemistry</w:t>
      </w:r>
      <w:proofErr w:type="spellEnd"/>
      <w:r w:rsidR="00CF2C2D" w:rsidRPr="00CF2C2D">
        <w:t xml:space="preserve"> in agro-based </w:t>
      </w:r>
      <w:proofErr w:type="spellStart"/>
      <w:r w:rsidR="00CF2C2D" w:rsidRPr="00CF2C2D">
        <w:t>cocrystal</w:t>
      </w:r>
      <w:proofErr w:type="spellEnd"/>
      <w:r w:rsidR="00CF2C2D" w:rsidRPr="00CF2C2D">
        <w:t xml:space="preserve"> and materials design.</w:t>
      </w:r>
    </w:p>
    <w:p w:rsidR="00345E25" w:rsidRDefault="00345E25">
      <w:pPr>
        <w:rPr>
          <w:lang w:eastAsia="cs-CZ"/>
        </w:rPr>
      </w:pPr>
    </w:p>
    <w:p w:rsidR="00CF2C2D" w:rsidRDefault="00CF2C2D">
      <w:pPr>
        <w:rPr>
          <w:lang w:eastAsia="cs-CZ"/>
        </w:rPr>
      </w:pPr>
    </w:p>
    <w:p w:rsidR="00CF2C2D" w:rsidRDefault="00CF2C2D">
      <w:pPr>
        <w:rPr>
          <w:lang w:eastAsia="cs-CZ"/>
        </w:rPr>
      </w:pPr>
      <w:bookmarkStart w:id="0" w:name="_GoBack"/>
      <w:bookmarkEnd w:id="0"/>
    </w:p>
    <w:p w:rsidR="002D3CAB" w:rsidRDefault="00CF2C2D" w:rsidP="001C75F6">
      <w:pPr>
        <w:pStyle w:val="Nagwek4"/>
      </w:pPr>
      <w:r>
        <w:t xml:space="preserve"> </w:t>
      </w:r>
      <w:r w:rsidR="007847F7">
        <w:t xml:space="preserve">[1] </w:t>
      </w:r>
      <w:proofErr w:type="spellStart"/>
      <w:r w:rsidR="001C75F6">
        <w:t>Parakatawella</w:t>
      </w:r>
      <w:proofErr w:type="spellEnd"/>
      <w:r w:rsidR="001C75F6">
        <w:t xml:space="preserve">, S., </w:t>
      </w:r>
      <w:proofErr w:type="spellStart"/>
      <w:r w:rsidR="001C75F6">
        <w:t>Gogoi</w:t>
      </w:r>
      <w:proofErr w:type="spellEnd"/>
      <w:r w:rsidR="001C75F6">
        <w:t xml:space="preserve">, D., </w:t>
      </w:r>
      <w:proofErr w:type="spellStart"/>
      <w:r w:rsidR="001C75F6">
        <w:t>Deka</w:t>
      </w:r>
      <w:proofErr w:type="spellEnd"/>
      <w:r w:rsidR="001C75F6">
        <w:t>, P., Xu, Y.,</w:t>
      </w:r>
      <w:r w:rsidR="001C75F6">
        <w:t xml:space="preserve"> </w:t>
      </w:r>
      <w:proofErr w:type="spellStart"/>
      <w:r w:rsidR="001C75F6">
        <w:t>Sandaruwan</w:t>
      </w:r>
      <w:proofErr w:type="spellEnd"/>
      <w:r w:rsidR="001C75F6">
        <w:t xml:space="preserve">, C., </w:t>
      </w:r>
      <w:proofErr w:type="spellStart"/>
      <w:r w:rsidR="001C75F6">
        <w:t>Jayasundera</w:t>
      </w:r>
      <w:proofErr w:type="spellEnd"/>
      <w:r w:rsidR="001C75F6">
        <w:t xml:space="preserve">, A.C., </w:t>
      </w:r>
      <w:proofErr w:type="spellStart"/>
      <w:r w:rsidR="001C75F6">
        <w:t>Arhangelskis</w:t>
      </w:r>
      <w:proofErr w:type="spellEnd"/>
      <w:r w:rsidR="001C75F6">
        <w:t>,</w:t>
      </w:r>
      <w:r w:rsidR="001C75F6">
        <w:t xml:space="preserve"> </w:t>
      </w:r>
      <w:r w:rsidR="001C75F6">
        <w:t xml:space="preserve">M., </w:t>
      </w:r>
      <w:proofErr w:type="spellStart"/>
      <w:r w:rsidR="001C75F6">
        <w:t>Thakuria</w:t>
      </w:r>
      <w:proofErr w:type="spellEnd"/>
      <w:r w:rsidR="001C75F6">
        <w:t xml:space="preserve">, R. </w:t>
      </w:r>
      <w:r w:rsidR="001C75F6">
        <w:t>&amp;</w:t>
      </w:r>
      <w:r w:rsidR="001C75F6">
        <w:t xml:space="preserve"> </w:t>
      </w:r>
      <w:proofErr w:type="spellStart"/>
      <w:r w:rsidR="001C75F6">
        <w:t>Adassooriya</w:t>
      </w:r>
      <w:proofErr w:type="spellEnd"/>
      <w:r w:rsidR="001C75F6">
        <w:t>, N.M.,</w:t>
      </w:r>
      <w:r w:rsidR="002D3CAB" w:rsidRPr="002D3CAB">
        <w:t xml:space="preserve"> </w:t>
      </w:r>
      <w:r w:rsidR="001C75F6">
        <w:t xml:space="preserve">(2022). </w:t>
      </w:r>
      <w:proofErr w:type="spellStart"/>
      <w:r w:rsidR="002D3CAB" w:rsidRPr="001C75F6">
        <w:rPr>
          <w:i/>
        </w:rPr>
        <w:t>ChemSusChem</w:t>
      </w:r>
      <w:proofErr w:type="spellEnd"/>
      <w:r w:rsidR="002D3CAB" w:rsidRPr="002D3CAB">
        <w:t xml:space="preserve">., </w:t>
      </w:r>
      <w:r w:rsidR="002D3CAB" w:rsidRPr="001C75F6">
        <w:rPr>
          <w:b/>
        </w:rPr>
        <w:t>15</w:t>
      </w:r>
      <w:r w:rsidR="001C75F6">
        <w:t>,</w:t>
      </w:r>
      <w:r w:rsidR="002D3CAB" w:rsidRPr="002D3CAB">
        <w:t xml:space="preserve"> e202102445</w:t>
      </w:r>
    </w:p>
    <w:p w:rsidR="002D3CAB" w:rsidRDefault="00D97F33">
      <w:pPr>
        <w:pStyle w:val="Nagwek4"/>
      </w:pPr>
      <w:r>
        <w:t xml:space="preserve"> </w:t>
      </w:r>
      <w:r w:rsidR="007847F7">
        <w:t xml:space="preserve">[2] </w:t>
      </w:r>
      <w:proofErr w:type="spellStart"/>
      <w:r w:rsidRPr="00D97F33">
        <w:t>Madanayake</w:t>
      </w:r>
      <w:proofErr w:type="spellEnd"/>
      <w:r>
        <w:t xml:space="preserve">, N. H., </w:t>
      </w:r>
      <w:proofErr w:type="spellStart"/>
      <w:r w:rsidRPr="00D97F33">
        <w:t>Gogoi</w:t>
      </w:r>
      <w:proofErr w:type="spellEnd"/>
      <w:r>
        <w:t xml:space="preserve">, D., </w:t>
      </w:r>
      <w:proofErr w:type="spellStart"/>
      <w:r>
        <w:t>Jayasuriya</w:t>
      </w:r>
      <w:proofErr w:type="spellEnd"/>
      <w:r w:rsidRPr="00D97F33">
        <w:t>.</w:t>
      </w:r>
      <w:r>
        <w:t xml:space="preserve"> </w:t>
      </w:r>
      <w:r w:rsidRPr="00D97F33">
        <w:t>G</w:t>
      </w:r>
      <w:r>
        <w:t>.</w:t>
      </w:r>
      <w:r w:rsidRPr="00D97F33">
        <w:t xml:space="preserve"> K. M. G.</w:t>
      </w:r>
      <w:r>
        <w:t xml:space="preserve">, </w:t>
      </w:r>
      <w:r w:rsidRPr="00D97F33">
        <w:t xml:space="preserve"> </w:t>
      </w:r>
      <w:r w:rsidRPr="00D97F33">
        <w:t xml:space="preserve"> </w:t>
      </w:r>
      <w:proofErr w:type="spellStart"/>
      <w:r w:rsidRPr="00D97F33">
        <w:t>Perera</w:t>
      </w:r>
      <w:proofErr w:type="spellEnd"/>
      <w:r>
        <w:t xml:space="preserve">, A. T. D., </w:t>
      </w:r>
      <w:proofErr w:type="spellStart"/>
      <w:r w:rsidRPr="00D97F33">
        <w:t>Thakuria</w:t>
      </w:r>
      <w:proofErr w:type="spellEnd"/>
      <w:r>
        <w:t xml:space="preserve">, R. &amp; </w:t>
      </w:r>
      <w:proofErr w:type="spellStart"/>
      <w:r w:rsidRPr="00D97F33">
        <w:t>Adassooriya</w:t>
      </w:r>
      <w:proofErr w:type="spellEnd"/>
      <w:r w:rsidR="002D3CAB" w:rsidRPr="002D3CAB">
        <w:t>,</w:t>
      </w:r>
      <w:r>
        <w:t xml:space="preserve"> N. M. (2025).</w:t>
      </w:r>
      <w:r w:rsidR="002D3CAB" w:rsidRPr="002D3CAB">
        <w:t xml:space="preserve"> </w:t>
      </w:r>
      <w:r w:rsidR="002D3CAB" w:rsidRPr="00D97F33">
        <w:rPr>
          <w:i/>
        </w:rPr>
        <w:t>ACS Sustain. Chem. Eng</w:t>
      </w:r>
      <w:r>
        <w:rPr>
          <w:i/>
        </w:rPr>
        <w:t>.</w:t>
      </w:r>
      <w:r>
        <w:t xml:space="preserve">, </w:t>
      </w:r>
      <w:r w:rsidRPr="00D97F33">
        <w:rPr>
          <w:b/>
        </w:rPr>
        <w:t>13</w:t>
      </w:r>
      <w:r>
        <w:t>, 9481.</w:t>
      </w:r>
    </w:p>
    <w:p w:rsidR="002D3CAB" w:rsidRDefault="00D97F33">
      <w:pPr>
        <w:pStyle w:val="Nagwek4"/>
      </w:pPr>
      <w:r>
        <w:t xml:space="preserve"> </w:t>
      </w:r>
      <w:r w:rsidR="007847F7">
        <w:t xml:space="preserve">[3] </w:t>
      </w:r>
      <w:proofErr w:type="spellStart"/>
      <w:r w:rsidRPr="00D97F33">
        <w:t>Deka</w:t>
      </w:r>
      <w:proofErr w:type="spellEnd"/>
      <w:r w:rsidRPr="00D97F33">
        <w:t>,</w:t>
      </w:r>
      <w:r>
        <w:t xml:space="preserve"> P.,</w:t>
      </w:r>
      <w:r w:rsidRPr="00D97F33">
        <w:t xml:space="preserve"> Das,</w:t>
      </w:r>
      <w:r>
        <w:t xml:space="preserve"> S.,</w:t>
      </w:r>
      <w:r w:rsidRPr="00D97F33">
        <w:t xml:space="preserve"> </w:t>
      </w:r>
      <w:proofErr w:type="spellStart"/>
      <w:r w:rsidRPr="00D97F33">
        <w:t>Sarma</w:t>
      </w:r>
      <w:proofErr w:type="spellEnd"/>
      <w:r w:rsidRPr="00D97F33">
        <w:t>,</w:t>
      </w:r>
      <w:r>
        <w:t xml:space="preserve"> P.,</w:t>
      </w:r>
      <w:r w:rsidRPr="00D97F33">
        <w:t xml:space="preserve"> </w:t>
      </w:r>
      <w:proofErr w:type="spellStart"/>
      <w:r w:rsidRPr="00D97F33">
        <w:t>Kalita</w:t>
      </w:r>
      <w:proofErr w:type="spellEnd"/>
      <w:r w:rsidRPr="00D97F33">
        <w:t>,</w:t>
      </w:r>
      <w:r>
        <w:t xml:space="preserve"> K. J.,</w:t>
      </w:r>
      <w:r w:rsidRPr="00D97F33">
        <w:t xml:space="preserve"> </w:t>
      </w:r>
      <w:proofErr w:type="spellStart"/>
      <w:r>
        <w:t>V</w:t>
      </w:r>
      <w:r w:rsidRPr="00D97F33">
        <w:t>ijayaraghavan</w:t>
      </w:r>
      <w:proofErr w:type="spellEnd"/>
      <w:r w:rsidRPr="00D97F33">
        <w:t>,</w:t>
      </w:r>
      <w:r>
        <w:t xml:space="preserve"> R. K.,</w:t>
      </w:r>
      <w:r w:rsidRPr="00D97F33">
        <w:t xml:space="preserve"> Reddy,</w:t>
      </w:r>
      <w:r>
        <w:t xml:space="preserve"> C. M. &amp;</w:t>
      </w:r>
      <w:r w:rsidRPr="00D97F33">
        <w:t xml:space="preserve"> </w:t>
      </w:r>
      <w:proofErr w:type="spellStart"/>
      <w:r w:rsidRPr="00D97F33">
        <w:t>Thakuria</w:t>
      </w:r>
      <w:proofErr w:type="spellEnd"/>
      <w:r>
        <w:t xml:space="preserve">, R.(2024).  </w:t>
      </w:r>
      <w:proofErr w:type="spellStart"/>
      <w:r w:rsidRPr="00D97F33">
        <w:rPr>
          <w:i/>
        </w:rPr>
        <w:t>Cryst</w:t>
      </w:r>
      <w:proofErr w:type="spellEnd"/>
      <w:r w:rsidRPr="00D97F33">
        <w:rPr>
          <w:i/>
        </w:rPr>
        <w:t>. Growth Des.,</w:t>
      </w:r>
      <w:r>
        <w:t xml:space="preserve"> </w:t>
      </w:r>
      <w:r w:rsidRPr="00D97F33">
        <w:rPr>
          <w:b/>
        </w:rPr>
        <w:t>24</w:t>
      </w:r>
      <w:r>
        <w:t>, 2322.</w:t>
      </w:r>
    </w:p>
    <w:p w:rsidR="002D3CAB" w:rsidRDefault="00D97F33">
      <w:pPr>
        <w:pStyle w:val="Nagwek4"/>
      </w:pPr>
      <w:r>
        <w:t xml:space="preserve"> </w:t>
      </w:r>
      <w:r w:rsidR="007847F7">
        <w:t xml:space="preserve">[4] </w:t>
      </w:r>
      <w:proofErr w:type="spellStart"/>
      <w:r w:rsidR="00000D9E" w:rsidRPr="00000D9E">
        <w:t>Kalita</w:t>
      </w:r>
      <w:proofErr w:type="spellEnd"/>
      <w:r w:rsidR="00000D9E" w:rsidRPr="00000D9E">
        <w:t>,</w:t>
      </w:r>
      <w:r w:rsidR="00000D9E">
        <w:t xml:space="preserve"> N.,</w:t>
      </w:r>
      <w:r w:rsidR="00000D9E" w:rsidRPr="00000D9E">
        <w:t xml:space="preserve"> </w:t>
      </w:r>
      <w:proofErr w:type="spellStart"/>
      <w:r w:rsidR="00000D9E" w:rsidRPr="00000D9E">
        <w:t>Kalita</w:t>
      </w:r>
      <w:proofErr w:type="spellEnd"/>
      <w:r w:rsidR="00000D9E" w:rsidRPr="00000D9E">
        <w:t>,</w:t>
      </w:r>
      <w:r w:rsidR="00000D9E">
        <w:t xml:space="preserve"> K. J.,</w:t>
      </w:r>
      <w:r w:rsidR="00000D9E" w:rsidRPr="00000D9E">
        <w:t xml:space="preserve"> Borah,</w:t>
      </w:r>
      <w:r w:rsidR="00000D9E">
        <w:t xml:space="preserve"> S. S.,</w:t>
      </w:r>
      <w:r w:rsidR="00000D9E" w:rsidRPr="00000D9E">
        <w:t xml:space="preserve"> </w:t>
      </w:r>
      <w:proofErr w:type="spellStart"/>
      <w:r w:rsidR="00000D9E" w:rsidRPr="00000D9E">
        <w:t>Puschmann</w:t>
      </w:r>
      <w:proofErr w:type="spellEnd"/>
      <w:r w:rsidR="00000D9E" w:rsidRPr="00000D9E">
        <w:t>,</w:t>
      </w:r>
      <w:r w:rsidR="00000D9E">
        <w:t xml:space="preserve"> H.,</w:t>
      </w:r>
      <w:r w:rsidR="00000D9E" w:rsidRPr="00000D9E">
        <w:t xml:space="preserve"> </w:t>
      </w:r>
      <w:proofErr w:type="spellStart"/>
      <w:r w:rsidR="00000D9E" w:rsidRPr="00000D9E">
        <w:t>Nath</w:t>
      </w:r>
      <w:proofErr w:type="spellEnd"/>
      <w:r w:rsidR="00000D9E" w:rsidRPr="00000D9E">
        <w:t>,</w:t>
      </w:r>
      <w:r w:rsidR="00000D9E">
        <w:t xml:space="preserve"> N. K. &amp;</w:t>
      </w:r>
      <w:r w:rsidR="00000D9E" w:rsidRPr="00000D9E">
        <w:t xml:space="preserve"> </w:t>
      </w:r>
      <w:proofErr w:type="spellStart"/>
      <w:r w:rsidR="00000D9E" w:rsidRPr="00000D9E">
        <w:t>Thakuria</w:t>
      </w:r>
      <w:proofErr w:type="spellEnd"/>
      <w:r w:rsidR="00000D9E">
        <w:t>, R. (2025).</w:t>
      </w:r>
      <w:r w:rsidR="002D3CAB" w:rsidRPr="002D3CAB">
        <w:t xml:space="preserve"> </w:t>
      </w:r>
      <w:r w:rsidR="002D3CAB" w:rsidRPr="00000D9E">
        <w:rPr>
          <w:i/>
        </w:rPr>
        <w:t>ACS Appl. Opt. Mater</w:t>
      </w:r>
      <w:r w:rsidR="002D3CAB" w:rsidRPr="002D3CAB">
        <w:t xml:space="preserve">, </w:t>
      </w:r>
      <w:r w:rsidR="002D3CAB" w:rsidRPr="00000D9E">
        <w:rPr>
          <w:b/>
        </w:rPr>
        <w:t>3</w:t>
      </w:r>
      <w:r w:rsidR="00000D9E">
        <w:t xml:space="preserve">, </w:t>
      </w:r>
      <w:r w:rsidR="002D3CAB" w:rsidRPr="002D3CAB">
        <w:t>1078</w:t>
      </w:r>
      <w:r w:rsidR="00000D9E">
        <w:t>.</w:t>
      </w:r>
    </w:p>
    <w:p w:rsidR="002D3CAB" w:rsidRPr="002D3CAB" w:rsidRDefault="00D97F33" w:rsidP="002D3CAB">
      <w:pPr>
        <w:rPr>
          <w:lang w:eastAsia="cs-CZ"/>
        </w:rPr>
      </w:pPr>
      <w:r>
        <w:rPr>
          <w:lang w:eastAsia="cs-CZ"/>
        </w:rPr>
        <w:t xml:space="preserve"> </w:t>
      </w:r>
      <w:r w:rsidR="002D3CAB">
        <w:rPr>
          <w:lang w:eastAsia="cs-CZ"/>
        </w:rPr>
        <w:t xml:space="preserve">[5] </w:t>
      </w:r>
      <w:proofErr w:type="spellStart"/>
      <w:r w:rsidRPr="00D97F33">
        <w:rPr>
          <w:lang w:eastAsia="cs-CZ"/>
        </w:rPr>
        <w:t>Kalita</w:t>
      </w:r>
      <w:proofErr w:type="spellEnd"/>
      <w:r w:rsidRPr="00D97F33">
        <w:rPr>
          <w:lang w:eastAsia="cs-CZ"/>
        </w:rPr>
        <w:t>,</w:t>
      </w:r>
      <w:r w:rsidR="00F04E97">
        <w:rPr>
          <w:lang w:eastAsia="cs-CZ"/>
        </w:rPr>
        <w:t xml:space="preserve"> N.,</w:t>
      </w:r>
      <w:r w:rsidRPr="00D97F33">
        <w:rPr>
          <w:lang w:eastAsia="cs-CZ"/>
        </w:rPr>
        <w:t xml:space="preserve"> </w:t>
      </w:r>
      <w:proofErr w:type="spellStart"/>
      <w:r w:rsidR="00F04E97">
        <w:rPr>
          <w:lang w:eastAsia="cs-CZ"/>
        </w:rPr>
        <w:t>D</w:t>
      </w:r>
      <w:r w:rsidRPr="00D97F33">
        <w:rPr>
          <w:lang w:eastAsia="cs-CZ"/>
        </w:rPr>
        <w:t>eka</w:t>
      </w:r>
      <w:proofErr w:type="spellEnd"/>
      <w:r w:rsidRPr="00D97F33">
        <w:rPr>
          <w:lang w:eastAsia="cs-CZ"/>
        </w:rPr>
        <w:t>,</w:t>
      </w:r>
      <w:r w:rsidR="00F04E97">
        <w:rPr>
          <w:lang w:eastAsia="cs-CZ"/>
        </w:rPr>
        <w:t xml:space="preserve"> P., </w:t>
      </w:r>
      <w:r w:rsidRPr="00D97F33">
        <w:rPr>
          <w:lang w:eastAsia="cs-CZ"/>
        </w:rPr>
        <w:t>Ghosh,</w:t>
      </w:r>
      <w:r w:rsidR="00F04E97">
        <w:rPr>
          <w:lang w:eastAsia="cs-CZ"/>
        </w:rPr>
        <w:t xml:space="preserve"> I.,</w:t>
      </w:r>
      <w:r w:rsidRPr="00D97F33">
        <w:rPr>
          <w:lang w:eastAsia="cs-CZ"/>
        </w:rPr>
        <w:t xml:space="preserve"> </w:t>
      </w:r>
      <w:proofErr w:type="spellStart"/>
      <w:r w:rsidRPr="00D97F33">
        <w:rPr>
          <w:lang w:eastAsia="cs-CZ"/>
        </w:rPr>
        <w:t>Kalita</w:t>
      </w:r>
      <w:proofErr w:type="spellEnd"/>
      <w:r w:rsidRPr="00D97F33">
        <w:rPr>
          <w:lang w:eastAsia="cs-CZ"/>
        </w:rPr>
        <w:t>,</w:t>
      </w:r>
      <w:r w:rsidR="00F04E97">
        <w:rPr>
          <w:lang w:eastAsia="cs-CZ"/>
        </w:rPr>
        <w:t xml:space="preserve"> K. J.,</w:t>
      </w:r>
      <w:r w:rsidRPr="00D97F33">
        <w:rPr>
          <w:lang w:eastAsia="cs-CZ"/>
        </w:rPr>
        <w:t xml:space="preserve"> </w:t>
      </w:r>
      <w:proofErr w:type="spellStart"/>
      <w:r w:rsidRPr="00D97F33">
        <w:rPr>
          <w:lang w:eastAsia="cs-CZ"/>
        </w:rPr>
        <w:t>Gogoi</w:t>
      </w:r>
      <w:proofErr w:type="spellEnd"/>
      <w:r w:rsidRPr="00D97F33">
        <w:rPr>
          <w:lang w:eastAsia="cs-CZ"/>
        </w:rPr>
        <w:t>,</w:t>
      </w:r>
      <w:r w:rsidR="00F04E97">
        <w:rPr>
          <w:lang w:eastAsia="cs-CZ"/>
        </w:rPr>
        <w:t xml:space="preserve"> A.,</w:t>
      </w:r>
      <w:r w:rsidRPr="00D97F33">
        <w:rPr>
          <w:lang w:eastAsia="cs-CZ"/>
        </w:rPr>
        <w:t xml:space="preserve"> Reddy</w:t>
      </w:r>
      <w:r w:rsidR="00F04E97">
        <w:rPr>
          <w:lang w:eastAsia="cs-CZ"/>
        </w:rPr>
        <w:t>, C. M. &amp;</w:t>
      </w:r>
      <w:r w:rsidRPr="00D97F33">
        <w:rPr>
          <w:lang w:eastAsia="cs-CZ"/>
        </w:rPr>
        <w:t xml:space="preserve"> </w:t>
      </w:r>
      <w:proofErr w:type="spellStart"/>
      <w:r w:rsidRPr="00D97F33">
        <w:rPr>
          <w:lang w:eastAsia="cs-CZ"/>
        </w:rPr>
        <w:t>Thakuria</w:t>
      </w:r>
      <w:proofErr w:type="spellEnd"/>
      <w:r w:rsidR="002D3CAB" w:rsidRPr="002D3CAB">
        <w:rPr>
          <w:lang w:eastAsia="cs-CZ"/>
        </w:rPr>
        <w:t>.</w:t>
      </w:r>
      <w:r w:rsidR="00F04E97">
        <w:rPr>
          <w:lang w:eastAsia="cs-CZ"/>
        </w:rPr>
        <w:t xml:space="preserve"> R. (2025).</w:t>
      </w:r>
      <w:r w:rsidR="002D3CAB" w:rsidRPr="002D3CAB">
        <w:rPr>
          <w:lang w:eastAsia="cs-CZ"/>
        </w:rPr>
        <w:t xml:space="preserve"> </w:t>
      </w:r>
      <w:r w:rsidR="002D3CAB" w:rsidRPr="00F04E97">
        <w:rPr>
          <w:i/>
          <w:lang w:eastAsia="cs-CZ"/>
        </w:rPr>
        <w:t xml:space="preserve">J. Mater. </w:t>
      </w:r>
      <w:r w:rsidRPr="00F04E97">
        <w:rPr>
          <w:i/>
          <w:lang w:eastAsia="cs-CZ"/>
        </w:rPr>
        <w:t>Chem. C</w:t>
      </w:r>
      <w:r>
        <w:rPr>
          <w:lang w:eastAsia="cs-CZ"/>
        </w:rPr>
        <w:t xml:space="preserve">, </w:t>
      </w:r>
      <w:r w:rsidRPr="00F04E97">
        <w:rPr>
          <w:b/>
          <w:lang w:eastAsia="cs-CZ"/>
        </w:rPr>
        <w:t>13</w:t>
      </w:r>
      <w:r w:rsidR="00F04E97">
        <w:rPr>
          <w:lang w:eastAsia="cs-CZ"/>
        </w:rPr>
        <w:t>,</w:t>
      </w:r>
      <w:r>
        <w:rPr>
          <w:lang w:eastAsia="cs-CZ"/>
        </w:rPr>
        <w:t xml:space="preserve"> 10769</w:t>
      </w:r>
      <w:r w:rsidR="00F04E97">
        <w:rPr>
          <w:lang w:eastAsia="cs-CZ"/>
        </w:rPr>
        <w:t>.</w:t>
      </w:r>
    </w:p>
    <w:sectPr w:rsidR="002D3CAB" w:rsidRPr="002D3CAB">
      <w:headerReference w:type="default" r:id="rId9"/>
      <w:footerReference w:type="default" r:id="rId10"/>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F7" w:rsidRDefault="007847F7">
      <w:pPr>
        <w:spacing w:after="0"/>
      </w:pPr>
      <w:r>
        <w:separator/>
      </w:r>
    </w:p>
  </w:endnote>
  <w:endnote w:type="continuationSeparator" w:id="0">
    <w:p w:rsidR="007847F7" w:rsidRDefault="00784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25" w:rsidRDefault="007847F7">
    <w:pPr>
      <w:pStyle w:val="Stopka"/>
    </w:pPr>
    <w:proofErr w:type="spellStart"/>
    <w:r>
      <w:t>Acta</w:t>
    </w:r>
    <w:proofErr w:type="spellEnd"/>
    <w:r>
      <w:t xml:space="preserve"> </w:t>
    </w:r>
    <w:proofErr w:type="spellStart"/>
    <w:r>
      <w:t>Cryst</w:t>
    </w:r>
    <w:proofErr w:type="spellEnd"/>
    <w:r>
      <w:t>. (2025). A81, e1</w:t>
    </w:r>
  </w:p>
  <w:p w:rsidR="00345E25" w:rsidRDefault="00345E25">
    <w:pPr>
      <w:tabs>
        <w:tab w:val="center" w:pos="4703"/>
        <w:tab w:val="right" w:pos="94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F7" w:rsidRDefault="007847F7">
      <w:pPr>
        <w:spacing w:after="0"/>
      </w:pPr>
      <w:r>
        <w:separator/>
      </w:r>
    </w:p>
  </w:footnote>
  <w:footnote w:type="continuationSeparator" w:id="0">
    <w:p w:rsidR="007847F7" w:rsidRDefault="007847F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25" w:rsidRDefault="007847F7">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25"/>
    <w:rsid w:val="00000D9E"/>
    <w:rsid w:val="001C75F6"/>
    <w:rsid w:val="002D3CAB"/>
    <w:rsid w:val="00345E25"/>
    <w:rsid w:val="007847F7"/>
    <w:rsid w:val="00CF2C2D"/>
    <w:rsid w:val="00D97F33"/>
    <w:rsid w:val="00F04E9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E870"/>
  <w15:docId w15:val="{9E8426F5-1215-4F70-AF1F-1A7DC311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376D6-8D2D-4817-8C18-DE40A157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273</Words>
  <Characters>1644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Zofia</cp:lastModifiedBy>
  <cp:revision>5</cp:revision>
  <dcterms:created xsi:type="dcterms:W3CDTF">2025-08-22T18:52:00Z</dcterms:created>
  <dcterms:modified xsi:type="dcterms:W3CDTF">2025-08-22T19:17:00Z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